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26A61F3D" w:rsidR="00484ED2" w:rsidRPr="002532C3" w:rsidRDefault="00A80C51" w:rsidP="00D90B39">
      <w:pPr>
        <w:ind w:firstLineChars="800" w:firstLine="1680"/>
        <w:rPr>
          <w:color w:val="000000" w:themeColor="text1"/>
        </w:rPr>
      </w:pPr>
      <w:r w:rsidRPr="00A80C51">
        <w:rPr>
          <w:rFonts w:hint="eastAsia"/>
          <w:color w:val="000000" w:themeColor="text1"/>
        </w:rPr>
        <w:t>総合戦略案立案・マスタープラン磨き上げ業務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303176FF"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616B76">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1C1856DE" w:rsidR="00CA6CB1" w:rsidRPr="00CE55F1" w:rsidRDefault="00A80C51" w:rsidP="00292E02">
      <w:pPr>
        <w:ind w:firstLineChars="300" w:firstLine="632"/>
        <w:rPr>
          <w:rFonts w:asciiTheme="minorEastAsia" w:eastAsiaTheme="minorEastAsia" w:hAnsiTheme="minorEastAsia"/>
          <w:b/>
          <w:bCs/>
          <w:color w:val="000000" w:themeColor="text1"/>
          <w:kern w:val="0"/>
          <w:szCs w:val="21"/>
        </w:rPr>
      </w:pPr>
      <w:r w:rsidRPr="00A80C51">
        <w:rPr>
          <w:rFonts w:asciiTheme="minorEastAsia" w:eastAsiaTheme="minorEastAsia" w:hAnsiTheme="minorEastAsia" w:hint="eastAsia"/>
          <w:b/>
          <w:bCs/>
          <w:color w:val="000000" w:themeColor="text1"/>
          <w:kern w:val="0"/>
          <w:szCs w:val="21"/>
        </w:rPr>
        <w:t>総合戦略案立案・マスタープラン磨き上げ業務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3DB1949E"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616B76">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3066AF8A" w:rsidR="0091785B" w:rsidRPr="00D32360" w:rsidRDefault="00A80C51" w:rsidP="00292E02">
      <w:pPr>
        <w:ind w:firstLineChars="750" w:firstLine="1575"/>
      </w:pPr>
      <w:r w:rsidRPr="00A80C51">
        <w:rPr>
          <w:rFonts w:hint="eastAsia"/>
          <w:color w:val="000000" w:themeColor="text1"/>
        </w:rPr>
        <w:t>総合戦略案立案・マスタープラン磨き上げ業務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7B925" w14:textId="77777777" w:rsidR="00E41E34" w:rsidRDefault="00E41E34">
      <w:r>
        <w:separator/>
      </w:r>
    </w:p>
  </w:endnote>
  <w:endnote w:type="continuationSeparator" w:id="0">
    <w:p w14:paraId="1FE65D17" w14:textId="77777777" w:rsidR="00E41E34" w:rsidRDefault="00E4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CDF48" w14:textId="77777777" w:rsidR="00E41E34" w:rsidRDefault="00E41E34">
      <w:r>
        <w:separator/>
      </w:r>
    </w:p>
  </w:footnote>
  <w:footnote w:type="continuationSeparator" w:id="0">
    <w:p w14:paraId="1AD16D3E" w14:textId="77777777" w:rsidR="00E41E34" w:rsidRDefault="00E41E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2E02"/>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7D00"/>
    <w:rsid w:val="003D177A"/>
    <w:rsid w:val="003D17DF"/>
    <w:rsid w:val="003D1DAB"/>
    <w:rsid w:val="003D34CD"/>
    <w:rsid w:val="003D53BB"/>
    <w:rsid w:val="003D67DE"/>
    <w:rsid w:val="003E04A2"/>
    <w:rsid w:val="003E1EA4"/>
    <w:rsid w:val="003E27FA"/>
    <w:rsid w:val="003E38B4"/>
    <w:rsid w:val="003E5DE8"/>
    <w:rsid w:val="003F2F70"/>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B76"/>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18F"/>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F43C9"/>
    <w:rsid w:val="008F72BA"/>
    <w:rsid w:val="00901D8E"/>
    <w:rsid w:val="009033C6"/>
    <w:rsid w:val="00910BEF"/>
    <w:rsid w:val="00911211"/>
    <w:rsid w:val="00917624"/>
    <w:rsid w:val="0091785B"/>
    <w:rsid w:val="00920BF7"/>
    <w:rsid w:val="00921A19"/>
    <w:rsid w:val="00921B4D"/>
    <w:rsid w:val="00931C28"/>
    <w:rsid w:val="00932750"/>
    <w:rsid w:val="0093329C"/>
    <w:rsid w:val="00933545"/>
    <w:rsid w:val="00933DAD"/>
    <w:rsid w:val="00934B9C"/>
    <w:rsid w:val="00935E2F"/>
    <w:rsid w:val="00937DE3"/>
    <w:rsid w:val="0094427F"/>
    <w:rsid w:val="00945C39"/>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F3970"/>
    <w:rsid w:val="00CF3A7C"/>
    <w:rsid w:val="00D028A7"/>
    <w:rsid w:val="00D1021F"/>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7A33"/>
    <w:rsid w:val="00E40EB1"/>
    <w:rsid w:val="00E41E34"/>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341F"/>
    <w:rsid w:val="00F74675"/>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E581D-2BFD-40CD-97F0-14640624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10</cp:revision>
  <cp:lastPrinted>2024-03-12T11:34:00Z</cp:lastPrinted>
  <dcterms:created xsi:type="dcterms:W3CDTF">2025-05-07T08:28:00Z</dcterms:created>
  <dcterms:modified xsi:type="dcterms:W3CDTF">2025-05-19T05:23:00Z</dcterms:modified>
</cp:coreProperties>
</file>